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32500" cy="205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205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199462890625" w:line="240" w:lineRule="auto"/>
        <w:ind w:left="56.22528076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MATERIA: PROGETTAZIONE E PRODUZIONE ore settimanali: 6 (3+3).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22265625" w:line="240" w:lineRule="auto"/>
        <w:ind w:left="60.0556945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CLASSE: 5 A PMI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40576171875" w:line="240" w:lineRule="auto"/>
        <w:ind w:left="54.4108581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ANNO SCOLASTICO: 2023/2024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26416015625" w:line="240" w:lineRule="auto"/>
        <w:ind w:left="56.22528076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DOCENTE: Prof.ssa SCIGLIANO DEBORAH ANNUNZIATA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40576171875" w:line="342.71985054016113" w:lineRule="auto"/>
        <w:ind w:left="52.79808044433594" w:right="1731.99951171875" w:firstLine="3.4272003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DOCENTI IN COMPRESENZA: Prof .ssa 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LIGORIO ROSA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(Laboratori tecnologici) 3 ore   Prof. MACI DANIELE (TIC) 3 ore  </w:t>
      </w:r>
    </w:p>
    <w:tbl>
      <w:tblPr>
        <w:tblStyle w:val="Table1"/>
        <w:tblW w:w="9580.799560546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0.799560546875"/>
        <w:tblGridChange w:id="0">
          <w:tblGrid>
            <w:gridCol w:w="9580.799560546875"/>
          </w:tblGrid>
        </w:tblGridChange>
      </w:tblGrid>
      <w:tr>
        <w:trPr>
          <w:cantSplit w:val="0"/>
          <w:trHeight w:val="73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83013916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Libro di testo: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328857421875" w:line="238.0003023147583" w:lineRule="auto"/>
              <w:ind w:left="54.853973388671875" w:right="611.0968017578125" w:firstLine="37.983779907226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IL PRODOTTO MODA – Manuale di ideazione, progettazione e industrializzazione – II VOLUME AUTORI– Ghibellini, Schiavon, Tomasi, Zupo- ED.CLITT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.4108581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Argomenti: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3349609375" w:line="238.0003023147583" w:lineRule="auto"/>
        <w:ind w:left="767.6765441894531" w:right="-1.339111328125" w:hanging="356.57272338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1) ACCOGLIENZA E RIALLINEAMENTO: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Funzioni della disciplina Termini tecnici propri del linguaggio  settoriale. Norme tecniche del disegno di settore, Ripresa lacune e test d’ingresso.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27685546875" w:line="236.09591960906982" w:lineRule="auto"/>
        <w:ind w:left="757.39501953125" w:right="-2.220458984375" w:hanging="354.75845336914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2) PROGETTARE COLLEZIONI DI MODA: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Organizzazione del lavoro aziendale. Dalle fiere materiali alla  presentazione delle sfilate. Timing e pianificazione. Le stagioni della moda, le collezioni e le uscite del prodotto  finito. Fasi di ricerca, progettazione, presentazione. Utilizzo tecniche e software dedicati. Cartella colore,  cartella materiali, produzioni schizzi, figurini d’immagine, capi plat, schede tecniche e di lavorazione.  Presentazione dei lavori per mezzo di impaginazioni informatiche o portfolio cartacei personalizzati Timing e  pianificazione.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25" w:line="245.13997077941895" w:lineRule="auto"/>
        <w:ind w:left="774.4110107421875" w:right="-4.000244140625" w:hanging="373.3872985839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3) DALLA FIGURA AL FIGURINO femminile e accenno al bambino: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 principali canoni proporzionali.  Accenni alla struttura del corpo umano maschile e del bambino nelle varie fasce d’età e particolari anatomici.  I rapporti proporzionali del figurino di moda. Metodi per la rappresentazione.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150390625" w:line="237.99994468688965" w:lineRule="auto"/>
        <w:ind w:left="759.8141479492188" w:right="-2.503662109375" w:hanging="356.9760131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4) SOPRABITI CAPPOTTI, STOLE E MANTELLE: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Evoluzione storica soprabiti, cappotti e mantelle e  trasformazioni. Linee e modelli in relazione a macro categorie stilistiche e occasioni d’uso. Soprabiti, cappotti  e mantelle nelle collezioni: modelli di tendenza, elementi formali, stilistici e sartoriali. Le qualità dei materiali  e qualità stilistiche dei vari modelli. Valenze della modellistica applicata alla rappresentazione del capo.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811279296875" w:line="240" w:lineRule="auto"/>
        <w:ind w:left="404.652557373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5) ICONE DELLA MODA del II ‘900: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Evoluzione storica della moda nella prima metà del novecento.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99587059021" w:lineRule="auto"/>
        <w:ind w:left="787.0314025878906" w:right="-3.13720703125" w:hanging="10.806121826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Movimenti culturali, artistici e icone di stile. Principali atelier e couturier attivi nella prima metà del Novecento.  Evoluzione della silhouette femminile nel tempo. Lo stile dell’abbigliamento dei vari decenni e le  interpretazioni degli stilisti di oggi.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353515625" w:line="226.8929958343506" w:lineRule="auto"/>
        <w:ind w:left="757.39501953125" w:right="-1.712646484375" w:hanging="352.13760375976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6) PROGETTO E PRODUZIONE DEL PRODOTTO MODA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: Organizzazione del lavoro aziendale. Il  processo creativo della collezione. Il percorso della progettazione tecnica della collezione. Le fasi della  lavorazione industriale del prodotto. I linguaggi di presentazione e comunicazione della collezione. Canali di  vendita e distribuzione.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423828125" w:line="233.23980331420898" w:lineRule="auto"/>
        <w:ind w:left="764.6525573730469" w:right="-1.5161132812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7) I LINGUAGGI DELLA MODA: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Stili, forme e citazioni. Moda e revival. Design e innovazione. Moda, arte,  cinema e letteratura: elaborazioni di concept.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1181640625" w:line="237.999587059021" w:lineRule="auto"/>
        <w:ind w:left="404.0476989746094" w:right="-3.59130859375" w:firstLine="0.806427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8) LE CITTA’ DELLA MODA: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principali capitali del fashion system. Fiere, fashion week, scuole, musei  della moda. Il linguaggio della comunicazione di moda. Principali nomi e marchi delle città di moda.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9) ECOLOGIA E MATERIALI: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 principali fattori di inquinamento delle materie prime e dei processi di lavoro.  I principali marchi ecologici volontari. Caratteristiche dei nuovi materiali per la riduzione dell’impatto  ambientale.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3535156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10) ED. CIVICA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766.063690185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-Educazione alla legalità, la criminalità organizzata.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666015625" w:line="240" w:lineRule="auto"/>
        <w:ind w:left="766.063690185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-La protezione civile, educazione stradale, volontariato.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Argomenti svolti in compresenza con TIC: Book creator, Google presentazioni.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411.10382080078125" w:right="0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                                                                                                               Deborah Annunziata Scigliano</w:t>
      </w:r>
    </w:p>
    <w:sectPr>
      <w:pgSz w:h="16820" w:w="11900" w:orient="portrait"/>
      <w:pgMar w:bottom="2015.999755859375" w:top="1411.199951171875" w:left="1080" w:right="1218.299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