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C3320" w14:textId="77777777" w:rsidR="004F2DF6" w:rsidRDefault="004F2DF6" w:rsidP="004F2DF6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-2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19"/>
        <w:gridCol w:w="1814"/>
      </w:tblGrid>
      <w:tr w:rsidR="004F2DF6" w14:paraId="20959471" w14:textId="77777777" w:rsidTr="004F2DF6">
        <w:trPr>
          <w:trHeight w:val="2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CC47" w14:textId="75858807" w:rsidR="004F2DF6" w:rsidRDefault="004F2DF6">
            <w:pPr>
              <w:jc w:val="center"/>
              <w:rPr>
                <w:rFonts w:ascii="Verdana" w:eastAsia="Verdana" w:hAnsi="Verdana" w:cs="Verdana"/>
                <w:b/>
                <w:lang w:val="en-US"/>
              </w:rPr>
            </w:pP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2AE96DB9" wp14:editId="6C1594D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-826770</wp:posOffset>
                  </wp:positionV>
                  <wp:extent cx="838200" cy="554990"/>
                  <wp:effectExtent l="0" t="0" r="0" b="0"/>
                  <wp:wrapNone/>
                  <wp:docPr id="3" name="Immagine 3" descr="Risultati immagini per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908" w14:textId="141767AC" w:rsidR="004F2DF6" w:rsidRDefault="004F2DF6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8232693" wp14:editId="4E00E9D5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34290</wp:posOffset>
                  </wp:positionV>
                  <wp:extent cx="527050" cy="560070"/>
                  <wp:effectExtent l="0" t="0" r="6350" b="0"/>
                  <wp:wrapNone/>
                  <wp:docPr id="2" name="Immagine 2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66AE8E" w14:textId="77777777" w:rsidR="004F2DF6" w:rsidRDefault="004F2DF6">
            <w:pPr>
              <w:tabs>
                <w:tab w:val="left" w:pos="2150"/>
              </w:tabs>
              <w:jc w:val="center"/>
              <w:rPr>
                <w:b/>
                <w:sz w:val="16"/>
                <w:szCs w:val="16"/>
              </w:rPr>
            </w:pPr>
          </w:p>
          <w:p w14:paraId="21437819" w14:textId="77777777" w:rsidR="004F2DF6" w:rsidRDefault="004F2DF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6309F6" w14:textId="77777777" w:rsidR="004F2DF6" w:rsidRDefault="004F2DF6">
            <w:pPr>
              <w:jc w:val="center"/>
              <w:rPr>
                <w:rFonts w:ascii="Verdana" w:hAnsi="Verdana"/>
                <w:b/>
              </w:rPr>
            </w:pPr>
          </w:p>
          <w:p w14:paraId="5681E2A8" w14:textId="77777777" w:rsidR="004F2DF6" w:rsidRDefault="004F2DF6">
            <w:pPr>
              <w:pStyle w:val="Titolo"/>
              <w:rPr>
                <w:rFonts w:ascii="Book Antiqua" w:hAnsi="Book Antiqua"/>
                <w:sz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lang w:val="en-US" w:eastAsia="en-US"/>
              </w:rPr>
              <w:t>ISTITUTO PROFESSIONALE DI STATO PER I SERVIZI SOCIALI</w:t>
            </w:r>
          </w:p>
          <w:p w14:paraId="4FE11B06" w14:textId="77777777" w:rsidR="004F2DF6" w:rsidRDefault="004F2DF6">
            <w:pPr>
              <w:jc w:val="center"/>
              <w:rPr>
                <w:rFonts w:ascii="Book Antiqua" w:hAnsi="Book Antiqua"/>
                <w:sz w:val="20"/>
                <w:szCs w:val="20"/>
                <w:lang w:val="en-US" w:eastAsia="en-US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“Francesca Laura MORVILLO FALCONE”</w:t>
            </w:r>
          </w:p>
          <w:p w14:paraId="09D6A6C6" w14:textId="77777777" w:rsidR="004F2DF6" w:rsidRDefault="004F2D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Via Giuseppe Maria Galanti, 1 – 72100 Brindisi – Tel. 0831/513991</w:t>
            </w:r>
          </w:p>
          <w:p w14:paraId="0AC8BB7F" w14:textId="77777777" w:rsidR="004F2DF6" w:rsidRDefault="004F2D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MEC.: BRRF010008 – C.F. 80001890740</w:t>
            </w:r>
          </w:p>
          <w:p w14:paraId="51CDA824" w14:textId="77777777" w:rsidR="004F2DF6" w:rsidRDefault="004F2D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COD. UNIVOCO: UFBPFN – CODICE IPA: istsc_brrf010008</w:t>
            </w:r>
          </w:p>
          <w:p w14:paraId="59B83EF9" w14:textId="77777777" w:rsidR="004F2DF6" w:rsidRDefault="004F2DF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www.morvillofalconebrindisi.</w:t>
              </w:r>
            </w:hyperlink>
            <w:hyperlink r:id="rId10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edu</w:t>
              </w:r>
            </w:hyperlink>
            <w:hyperlink r:id="rId11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</w:rPr>
                <w:t>.it</w:t>
              </w:r>
            </w:hyperlink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2B0CE1FA" w14:textId="53D3F249" w:rsidR="004F2DF6" w:rsidRPr="003D2265" w:rsidRDefault="004F2DF6" w:rsidP="003D2265">
            <w:pPr>
              <w:pStyle w:val="Standard"/>
              <w:jc w:val="center"/>
              <w:rPr>
                <w:b/>
                <w:color w:val="0000FF"/>
                <w:u w:val="single"/>
                <w:lang w:val="en-US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peo:brrf010008@istruzione.it</w:t>
            </w:r>
            <w:proofErr w:type="gramEnd"/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– pec: </w:t>
            </w:r>
            <w:hyperlink r:id="rId12" w:history="1">
              <w:r>
                <w:rPr>
                  <w:rStyle w:val="Collegamentoipertestuale"/>
                  <w:rFonts w:ascii="Book Antiqua" w:hAnsi="Book Antiqua"/>
                  <w:b/>
                  <w:szCs w:val="20"/>
                  <w:lang w:val="en-US"/>
                </w:rPr>
                <w:t>brrf010008@pec.istruzione.it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0B3" w14:textId="1D8AD308" w:rsidR="004F2DF6" w:rsidRDefault="004F2DF6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78BC379" wp14:editId="1FDDC5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-854710</wp:posOffset>
                  </wp:positionV>
                  <wp:extent cx="933450" cy="701040"/>
                  <wp:effectExtent l="0" t="0" r="0" b="3810"/>
                  <wp:wrapNone/>
                  <wp:docPr id="1" name="Immagine 1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DCCAAD" w14:textId="77777777" w:rsidR="004F2DF6" w:rsidRDefault="004F2DF6" w:rsidP="004F2DF6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14:paraId="57460CB0" w14:textId="035B912B" w:rsidR="004F2DF6" w:rsidRPr="004F2DF6" w:rsidRDefault="0082186C" w:rsidP="004F2DF6">
      <w:pPr>
        <w:numPr>
          <w:ilvl w:val="0"/>
          <w:numId w:val="1"/>
        </w:numPr>
        <w:spacing w:line="360" w:lineRule="auto"/>
        <w:ind w:left="283"/>
        <w:jc w:val="both"/>
        <w:rPr>
          <w:b/>
          <w:bCs/>
        </w:rPr>
      </w:pPr>
      <w:r w:rsidRPr="0082186C">
        <w:rPr>
          <w:b/>
          <w:bCs/>
        </w:rPr>
        <w:t>Privacy</w:t>
      </w:r>
    </w:p>
    <w:p w14:paraId="277B6C14" w14:textId="4BB62AB9" w:rsidR="0082186C" w:rsidRPr="0082186C" w:rsidRDefault="0050501C" w:rsidP="0082186C">
      <w:pPr>
        <w:pStyle w:val="Paragrafoelenco"/>
        <w:numPr>
          <w:ilvl w:val="1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Informativa sul trattamento dei dati nell’ambito della DDI</w:t>
      </w:r>
    </w:p>
    <w:p w14:paraId="05B85A24" w14:textId="5C2835C5" w:rsidR="0082186C" w:rsidRDefault="0082186C" w:rsidP="0082186C">
      <w:pPr>
        <w:spacing w:line="360" w:lineRule="auto"/>
        <w:ind w:left="283"/>
        <w:jc w:val="both"/>
      </w:pPr>
      <w:r>
        <w:t>Il Dirigente Scolastico, in base alle disposizioni contenute negli artt. 13 e 14 del Regolamento UE 2016/679, informa gli interessati (docenti, genitori e alunni) in merito ai trattamenti dei dati personali effettuati nell’ambito dell’erogazione dell’offerta formativa in modalità digitale, fornendo all’inizio dell’anno scolastico una specifica informativa privacy, pubblicata nella sezione “Privacy” del sito web istituzionale e contenente tutte le informazioni relative a tali trattamenti.</w:t>
      </w:r>
    </w:p>
    <w:p w14:paraId="7B0302D8" w14:textId="7AE15E8B" w:rsidR="0082186C" w:rsidRDefault="0082186C" w:rsidP="0082186C">
      <w:pPr>
        <w:spacing w:line="360" w:lineRule="auto"/>
        <w:ind w:left="283"/>
        <w:jc w:val="both"/>
      </w:pPr>
      <w:r>
        <w:t xml:space="preserve">Gli insegnanti sono nominati dal Dirigente scolastico quali autorizzati al trattamento dei dati personali degli studenti e delle loro famiglie ai fini dello svolgimento delle proprie funzioni istituzionali e nel rispetto della normativa vigente (art. 29 Regolamento UE 2016/679). </w:t>
      </w:r>
    </w:p>
    <w:p w14:paraId="32F4E2CC" w14:textId="77777777" w:rsidR="0082186C" w:rsidRDefault="0082186C" w:rsidP="0082186C">
      <w:pPr>
        <w:spacing w:line="360" w:lineRule="auto"/>
        <w:ind w:left="283"/>
        <w:jc w:val="both"/>
      </w:pPr>
    </w:p>
    <w:p w14:paraId="3DC2920F" w14:textId="09DB0413" w:rsidR="0082186C" w:rsidRDefault="0082186C" w:rsidP="0082186C">
      <w:pPr>
        <w:pStyle w:val="Paragrafoelenco"/>
        <w:numPr>
          <w:ilvl w:val="1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Norme comportamentali nell’utilizzo di</w:t>
      </w:r>
      <w:r w:rsidRPr="0082186C">
        <w:rPr>
          <w:b/>
          <w:bCs/>
        </w:rPr>
        <w:t xml:space="preserve"> piattaforme di DDI</w:t>
      </w:r>
    </w:p>
    <w:p w14:paraId="7950D762" w14:textId="23F07F08" w:rsidR="0082186C" w:rsidRPr="002F0C7C" w:rsidRDefault="0082186C" w:rsidP="0082186C">
      <w:pPr>
        <w:spacing w:line="360" w:lineRule="auto"/>
        <w:ind w:left="283"/>
        <w:jc w:val="both"/>
      </w:pPr>
      <w:r>
        <w:t xml:space="preserve">Gli account personali sul Registro elettronico e </w:t>
      </w:r>
      <w:r w:rsidRPr="002F0C7C">
        <w:t xml:space="preserve">sulla Google Suite for </w:t>
      </w:r>
      <w:proofErr w:type="spellStart"/>
      <w:r w:rsidRPr="002F0C7C">
        <w:t>Education</w:t>
      </w:r>
      <w:proofErr w:type="spellEnd"/>
      <w:r w:rsidRPr="002F0C7C">
        <w:t xml:space="preserve"> in uso sono degli account di lavoro o di studio, pertanto è severamente proibito l'utilizzo delle loro applicazioni per motivi che esulano le attività didattiche, la comunicazione istituzionale della scuola o la comunicazione personale o di gruppo tra insegnanti, studentesse e studenti, nel rispetto di ciascun membro della comunità scolastica, della sua privacy e del ruolo svolto. </w:t>
      </w:r>
    </w:p>
    <w:p w14:paraId="1FF60952" w14:textId="5C461A77" w:rsidR="0082186C" w:rsidRDefault="0082186C" w:rsidP="0082186C">
      <w:pPr>
        <w:spacing w:line="360" w:lineRule="auto"/>
        <w:ind w:left="283"/>
        <w:jc w:val="both"/>
      </w:pPr>
      <w:r w:rsidRPr="002F0C7C">
        <w:t xml:space="preserve">Google </w:t>
      </w:r>
      <w:proofErr w:type="spellStart"/>
      <w:r w:rsidRPr="002F0C7C">
        <w:t>Meet</w:t>
      </w:r>
      <w:proofErr w:type="spellEnd"/>
      <w:r w:rsidRPr="002F0C7C">
        <w:t xml:space="preserve"> e, più in generale, Google Suite for </w:t>
      </w:r>
      <w:proofErr w:type="spellStart"/>
      <w:r w:rsidRPr="002F0C7C">
        <w:t>Education</w:t>
      </w:r>
      <w:proofErr w:type="spellEnd"/>
      <w:r w:rsidRPr="002F0C7C">
        <w:t xml:space="preserve"> in uso possiedono un sistema di controllo molto efficace e puntuale che permette all'amministratore</w:t>
      </w:r>
      <w:r>
        <w:t xml:space="preserve"> di sistema di verificare - in caso di necessità e per esigenze di sicurezza - </w:t>
      </w:r>
      <w:r>
        <w:rPr>
          <w:b/>
        </w:rPr>
        <w:t>i log</w:t>
      </w:r>
      <w:r>
        <w:t xml:space="preserve"> di accesso alla piattaforma. </w:t>
      </w:r>
      <w:proofErr w:type="gramStart"/>
      <w:r>
        <w:t>E’</w:t>
      </w:r>
      <w:proofErr w:type="gramEnd"/>
      <w:r>
        <w:t xml:space="preserve"> possibile monitorare, in tempo reale, le sessioni di videoconferenza aperte, l'orario di inizio/termine della singola sessione, i partecipanti che hanno avuto accesso e il loro orario di ingresso e uscita. </w:t>
      </w:r>
      <w:r>
        <w:rPr>
          <w:b/>
        </w:rPr>
        <w:t xml:space="preserve">La piattaforma è quindi in grado segnalare tutti gli eventuali abusi, occorsi prima, durante e dopo ogni sessione di lavoro. </w:t>
      </w:r>
    </w:p>
    <w:p w14:paraId="08DF2FA2" w14:textId="77777777" w:rsidR="0082186C" w:rsidRDefault="0082186C" w:rsidP="0082186C">
      <w:pPr>
        <w:spacing w:line="360" w:lineRule="auto"/>
        <w:ind w:left="283"/>
        <w:jc w:val="both"/>
      </w:pPr>
      <w:r w:rsidRPr="0082186C">
        <w:t>In particolare, è assolutamente vietato diffondere immagini o registrazioni relative alle persone che partecipano alle videolezioni, disturbare lo svolgimento delle stesse, utilizzare gli strumenti digitali per riprodurre e/o diffondere contenuti osceni o offensivi.</w:t>
      </w:r>
    </w:p>
    <w:p w14:paraId="3CDA5775" w14:textId="77777777" w:rsidR="0082186C" w:rsidRDefault="0082186C" w:rsidP="0082186C">
      <w:pPr>
        <w:spacing w:line="360" w:lineRule="auto"/>
        <w:ind w:left="283"/>
        <w:jc w:val="both"/>
      </w:pPr>
      <w:r w:rsidRPr="0082186C">
        <w:lastRenderedPageBreak/>
        <w:t>Eventuali diffusioni illegittime di tali materiali potrebbero comportare responsabilità di natura civile e penale per gli utenti coinvolti</w:t>
      </w:r>
      <w:r>
        <w:t xml:space="preserve">. </w:t>
      </w:r>
    </w:p>
    <w:p w14:paraId="3BC7D0B8" w14:textId="77777777" w:rsidR="0082186C" w:rsidRDefault="0082186C" w:rsidP="0082186C">
      <w:pPr>
        <w:spacing w:line="360" w:lineRule="auto"/>
        <w:ind w:left="283"/>
        <w:jc w:val="both"/>
      </w:pPr>
      <w:r>
        <w:t>È vietato trasmettere o condividere informazioni che possano presentare forme o contenuti di carattere osceno, blasfemo, diffamatorio o contrario all’ordine pubblico alle leggi vigenti in materia civile, penale e amministrativa.</w:t>
      </w:r>
    </w:p>
    <w:p w14:paraId="7D23F10B" w14:textId="77777777" w:rsidR="0082186C" w:rsidRDefault="0082186C" w:rsidP="0082186C">
      <w:pPr>
        <w:spacing w:line="360" w:lineRule="auto"/>
        <w:ind w:left="283"/>
        <w:jc w:val="both"/>
      </w:pPr>
      <w:r>
        <w:t xml:space="preserve">Insegnanti, </w:t>
      </w:r>
      <w:r w:rsidRPr="00F0083A">
        <w:t>studenti e i genitori</w:t>
      </w:r>
      <w:r>
        <w:t xml:space="preserve"> devono utilizzare correttamente il</w:t>
      </w:r>
      <w:r w:rsidRPr="00F0083A">
        <w:t xml:space="preserve"> proprio account</w:t>
      </w:r>
      <w:r>
        <w:t>, custodendo le credenziali di accesso consegnate (è vietata, infatti, la condivisione con terzi soggetti non autorizzati)</w:t>
      </w:r>
    </w:p>
    <w:p w14:paraId="0DB42C31" w14:textId="77777777" w:rsidR="0082186C" w:rsidRDefault="0082186C" w:rsidP="0082186C">
      <w:pPr>
        <w:spacing w:line="360" w:lineRule="auto"/>
        <w:ind w:left="283"/>
        <w:jc w:val="both"/>
      </w:pPr>
      <w:r>
        <w:t xml:space="preserve">Gli strumenti informatici utilizzati per la DDI devono essere protetti da malware e attacchi informatici con idonee soluzioni tecnologiche. Per tale motivo, </w:t>
      </w:r>
      <w:r w:rsidRPr="00792EF2">
        <w:t xml:space="preserve">insegnanti, studentesse e studenti </w:t>
      </w:r>
      <w:r>
        <w:t xml:space="preserve">devono sempre verificare che il proprio dispositivo abbia il sistema operativo aggiornato, come anche l’antivirus e che gli strumenti utilizzati per l’attività di DDI siano aggiornati e funzionanti </w:t>
      </w:r>
    </w:p>
    <w:p w14:paraId="37A41D24" w14:textId="0BCCCD6A" w:rsidR="0082186C" w:rsidRDefault="0082186C" w:rsidP="0082186C">
      <w:pPr>
        <w:spacing w:line="360" w:lineRule="auto"/>
        <w:ind w:left="283"/>
        <w:jc w:val="both"/>
      </w:pPr>
      <w:r w:rsidRPr="00792EF2">
        <w:t>Studenti, genitori e docenti sono responsabili delle azioni compiute tramite il proprio account di formazione a distanza. Quindi, l</w:t>
      </w:r>
      <w:r>
        <w:t>’Istituto scolastico</w:t>
      </w:r>
      <w:r w:rsidRPr="00792EF2">
        <w:t xml:space="preserve"> è esonerat</w:t>
      </w:r>
      <w:r>
        <w:t>o</w:t>
      </w:r>
      <w:r w:rsidRPr="00792EF2">
        <w:t xml:space="preserve"> da ogni pretesa o azione che dovesse essere rivolta all’Istituto medesimo da qualunque soggetto, in conseguenza di un uso improprio delle utenze preposte alla fruizione di DDI.</w:t>
      </w:r>
    </w:p>
    <w:p w14:paraId="4AF111C1" w14:textId="77777777" w:rsidR="0082186C" w:rsidRDefault="0082186C" w:rsidP="0082186C">
      <w:pPr>
        <w:spacing w:line="360" w:lineRule="auto"/>
        <w:ind w:left="283"/>
        <w:jc w:val="both"/>
      </w:pPr>
    </w:p>
    <w:p w14:paraId="2A49614B" w14:textId="77777777" w:rsidR="0082186C" w:rsidRDefault="0082186C" w:rsidP="0082186C">
      <w:pPr>
        <w:pStyle w:val="Paragrafoelenco"/>
        <w:numPr>
          <w:ilvl w:val="1"/>
          <w:numId w:val="2"/>
        </w:numPr>
        <w:spacing w:line="360" w:lineRule="auto"/>
        <w:jc w:val="both"/>
        <w:rPr>
          <w:b/>
          <w:bCs/>
        </w:rPr>
      </w:pPr>
      <w:r w:rsidRPr="0082186C">
        <w:rPr>
          <w:b/>
          <w:bCs/>
        </w:rPr>
        <w:t xml:space="preserve">Base giuridica, finalità e minimizzazione del trattamento </w:t>
      </w:r>
    </w:p>
    <w:p w14:paraId="6A33A3D2" w14:textId="77777777" w:rsidR="0050501C" w:rsidRDefault="0082186C" w:rsidP="0050501C">
      <w:pPr>
        <w:spacing w:line="360" w:lineRule="auto"/>
        <w:ind w:left="283"/>
        <w:jc w:val="both"/>
      </w:pPr>
      <w:r>
        <w:t>Né l’Istituto scolastico né il docente devono preoccuparsi di richiedere il consenso ai genitori o agli studenti maggiorenni per l’avvio della didattica digitale integrata (DDI) e neanche in futuro nella fase d’iscrizione all’Istituto. Sarà sufficiente fornire un’adeguata Informativa privacy, che sottolinei le basi giuridiche già esistenti e diverse dal consenso (obbligo di legge di realizzazione dell’interesse pubblico rilevante con nuove modalità tecnologiche). L’erogazione di DDI è obbligatoria e non costituisce un servizio della società dell’informazione erogato a minori.</w:t>
      </w:r>
    </w:p>
    <w:p w14:paraId="795FDDE8" w14:textId="77777777" w:rsidR="0050501C" w:rsidRDefault="0082186C" w:rsidP="0050501C">
      <w:pPr>
        <w:spacing w:line="360" w:lineRule="auto"/>
        <w:ind w:left="283"/>
        <w:jc w:val="both"/>
      </w:pPr>
      <w:r>
        <w:t>I</w:t>
      </w:r>
      <w:r w:rsidRPr="004A39D5">
        <w:t xml:space="preserve"> dati </w:t>
      </w:r>
      <w:r>
        <w:t xml:space="preserve">acquisiti </w:t>
      </w:r>
      <w:r w:rsidRPr="004A39D5">
        <w:t xml:space="preserve">nell'ambito della DDI non </w:t>
      </w:r>
      <w:r>
        <w:t>devono essere</w:t>
      </w:r>
      <w:r w:rsidRPr="004A39D5">
        <w:t xml:space="preserve"> conservati più a lungo del necessario</w:t>
      </w:r>
      <w:r>
        <w:t xml:space="preserve"> (in base ai piani di conservazione e scarto dell’Istituto) e devono essere </w:t>
      </w:r>
      <w:r w:rsidRPr="004A39D5">
        <w:t>cancellati al termine del progetto didattico</w:t>
      </w:r>
      <w:r>
        <w:t xml:space="preserve"> o della fase emergenziale.</w:t>
      </w:r>
      <w:r w:rsidR="0050501C">
        <w:t xml:space="preserve"> </w:t>
      </w:r>
    </w:p>
    <w:p w14:paraId="18E48CE5" w14:textId="77777777" w:rsidR="0050501C" w:rsidRDefault="0082186C" w:rsidP="0050501C">
      <w:pPr>
        <w:spacing w:line="360" w:lineRule="auto"/>
        <w:ind w:left="283"/>
        <w:jc w:val="both"/>
      </w:pPr>
      <w:r>
        <w:t xml:space="preserve">L’Istituto scolastico e i docenti </w:t>
      </w:r>
      <w:r w:rsidRPr="004A39D5">
        <w:t>assicura</w:t>
      </w:r>
      <w:r>
        <w:t>no</w:t>
      </w:r>
      <w:r w:rsidRPr="004A39D5">
        <w:t xml:space="preserve"> che i dati trattati </w:t>
      </w:r>
      <w:r>
        <w:t xml:space="preserve">dai fornitori del Registro elettronico e della piattaforma DDI </w:t>
      </w:r>
      <w:r w:rsidRPr="004A39D5">
        <w:t>siano utilizzati solo per la DDI, senza l’introduzione di ulteriori finalità e</w:t>
      </w:r>
      <w:r>
        <w:t>stranee all’attività scolastica. Il rapporto tali fornitori con riguardo al trattamento di dati personali deve essere regolato attraverso un contratto o altro atto giuridico ai sensi dell’art. 28 del GDPR (nei casi in cui l’Istituto scolastico o il docente faccia ricorso a strumenti e piattaforme per la DDI gestite in via autonoma, senza il ricorso a soggetti esterni, non è richiesto alcun atto di nomina a responsabile del trattamento).</w:t>
      </w:r>
    </w:p>
    <w:p w14:paraId="6D4B5187" w14:textId="77777777" w:rsidR="0050501C" w:rsidRDefault="0082186C" w:rsidP="0050501C">
      <w:pPr>
        <w:spacing w:line="360" w:lineRule="auto"/>
        <w:ind w:left="283"/>
        <w:jc w:val="both"/>
      </w:pPr>
      <w:r>
        <w:t>Nel caso in cui il Dirigente Scolastico autorizzi i docenti al</w:t>
      </w:r>
      <w:r w:rsidRPr="004B1962">
        <w:t xml:space="preserve"> ricor</w:t>
      </w:r>
      <w:r>
        <w:t>so</w:t>
      </w:r>
      <w:r w:rsidRPr="004B1962">
        <w:t xml:space="preserve"> a piattaforme più complesse </w:t>
      </w:r>
      <w:r>
        <w:t>(</w:t>
      </w:r>
      <w:r w:rsidRPr="004B1962">
        <w:t>che includono una più vasta gamma di servizi, anche non rivolti esclusivamente alla didattica</w:t>
      </w:r>
      <w:r>
        <w:t>) è necessario</w:t>
      </w:r>
      <w:r w:rsidRPr="004B1962">
        <w:t xml:space="preserve"> verificare, con il supporto del RPD, che </w:t>
      </w:r>
      <w:r>
        <w:t xml:space="preserve">vengano </w:t>
      </w:r>
      <w:r w:rsidRPr="004B1962">
        <w:t xml:space="preserve">attivati solo i servizi strettamente </w:t>
      </w:r>
      <w:r w:rsidRPr="004B1962">
        <w:lastRenderedPageBreak/>
        <w:t>correlati con la DDI</w:t>
      </w:r>
      <w:r>
        <w:t>,</w:t>
      </w:r>
      <w:r w:rsidRPr="004B1962">
        <w:t xml:space="preserve"> configurando i servizi in modo da minimizzare i dati personali da trattare sia in fase di attivazione dei servizi sia durante l’utilizzo degli stessi da parte di docenti e studenti (evitando, ad esempio, il ricorso a dati sulla geolocalizzazione, ovvero a sistemi di social login).</w:t>
      </w:r>
    </w:p>
    <w:p w14:paraId="715EC12E" w14:textId="77777777" w:rsidR="0050501C" w:rsidRDefault="0082186C" w:rsidP="0050501C">
      <w:pPr>
        <w:spacing w:line="360" w:lineRule="auto"/>
        <w:ind w:left="283"/>
        <w:jc w:val="both"/>
      </w:pPr>
      <w:r>
        <w:t xml:space="preserve">Il </w:t>
      </w:r>
      <w:r w:rsidRPr="007352C6">
        <w:t>personale docente e non docente</w:t>
      </w:r>
      <w:r>
        <w:t xml:space="preserve"> può </w:t>
      </w:r>
      <w:r w:rsidRPr="007352C6">
        <w:t xml:space="preserve">accedere </w:t>
      </w:r>
      <w:r>
        <w:t xml:space="preserve">nel sistema utilizzato per la DDI </w:t>
      </w:r>
      <w:r w:rsidRPr="007352C6">
        <w:t>solo alle informazioni e funzioni di competenza per tipologia di utenza sulla base delle specifiche mansioni assegnate</w:t>
      </w:r>
      <w:r>
        <w:t xml:space="preserve"> e specifiche istruzioni sono conferite attraverso la lettera di autorizzazione conferita con Decreto del Dirigente Scolastico; per tale motivo i </w:t>
      </w:r>
      <w:r w:rsidRPr="00367C94">
        <w:t>soggetti autorizzati al trattamento dei dati personali sono tenuti a conformare i trattamenti a loro assegnati alla normativa in materia di protezione dei dati personali e alle istruzioni ricevute</w:t>
      </w:r>
      <w:r>
        <w:t xml:space="preserve">. </w:t>
      </w:r>
    </w:p>
    <w:p w14:paraId="405352C9" w14:textId="5B2601B0" w:rsidR="0082186C" w:rsidRDefault="0082186C" w:rsidP="0050501C">
      <w:pPr>
        <w:spacing w:line="360" w:lineRule="auto"/>
        <w:ind w:left="283"/>
        <w:jc w:val="both"/>
      </w:pPr>
      <w:r>
        <w:t>Al fine di rispettare la libertà di insegnamento dei docenti, l</w:t>
      </w:r>
      <w:r w:rsidRPr="00F0083A">
        <w:t>e piattaforme e gli strumenti tecnologici</w:t>
      </w:r>
      <w:r>
        <w:t xml:space="preserve"> utilizzati</w:t>
      </w:r>
      <w:r w:rsidRPr="00F0083A">
        <w:t xml:space="preserve"> per l'erogazione della DDI </w:t>
      </w:r>
      <w:r>
        <w:t xml:space="preserve">devono </w:t>
      </w:r>
      <w:r w:rsidRPr="00F0083A">
        <w:t>consent</w:t>
      </w:r>
      <w:r>
        <w:t>ire</w:t>
      </w:r>
      <w:r w:rsidRPr="00F0083A">
        <w:t xml:space="preserve"> il trattamento dei soli dati personali necessari alla finalità didattica</w:t>
      </w:r>
      <w:r>
        <w:t xml:space="preserve"> e, pertanto,</w:t>
      </w:r>
      <w:r w:rsidRPr="00F0083A">
        <w:t xml:space="preserve"> i sistemi </w:t>
      </w:r>
      <w:r>
        <w:t xml:space="preserve">devono essere configurati </w:t>
      </w:r>
      <w:r w:rsidRPr="00F0083A">
        <w:t>in modo da prevenire che informazioni relative alla vita privata vengano, anche accidentalmente, raccolte</w:t>
      </w:r>
      <w:r>
        <w:t xml:space="preserve"> accidentalmente</w:t>
      </w:r>
      <w:r w:rsidRPr="00F0083A">
        <w:t>.</w:t>
      </w:r>
    </w:p>
    <w:p w14:paraId="5C1BA011" w14:textId="2AD891EE" w:rsidR="0050501C" w:rsidRDefault="0050501C" w:rsidP="0050501C">
      <w:pPr>
        <w:spacing w:line="360" w:lineRule="auto"/>
        <w:ind w:left="283"/>
        <w:jc w:val="both"/>
      </w:pPr>
    </w:p>
    <w:p w14:paraId="6E3815E4" w14:textId="77777777" w:rsidR="0050501C" w:rsidRDefault="0050501C" w:rsidP="0050501C">
      <w:pPr>
        <w:pStyle w:val="Paragrafoelenco"/>
        <w:numPr>
          <w:ilvl w:val="1"/>
          <w:numId w:val="2"/>
        </w:numPr>
        <w:spacing w:line="360" w:lineRule="auto"/>
        <w:jc w:val="both"/>
        <w:rPr>
          <w:b/>
          <w:bCs/>
        </w:rPr>
      </w:pPr>
      <w:r w:rsidRPr="0050501C">
        <w:rPr>
          <w:b/>
          <w:bCs/>
        </w:rPr>
        <w:t xml:space="preserve"> Disclaimer </w:t>
      </w:r>
    </w:p>
    <w:p w14:paraId="26524645" w14:textId="766530E6" w:rsidR="001D6F8A" w:rsidRDefault="0082186C" w:rsidP="001D6F8A">
      <w:pPr>
        <w:spacing w:line="360" w:lineRule="auto"/>
        <w:ind w:left="283"/>
        <w:jc w:val="both"/>
      </w:pPr>
      <w:r>
        <w:t>D</w:t>
      </w:r>
      <w:r w:rsidRPr="008775B9">
        <w:t>isclaimer</w:t>
      </w:r>
      <w:r w:rsidRPr="00775D5D">
        <w:t xml:space="preserve"> </w:t>
      </w:r>
      <w:r>
        <w:t>da comunicare con circolare o tramite una modalità di visualizzazione immediata e costante nelle piattaforme in uso o sul sito istituzionale:</w:t>
      </w:r>
      <w:r w:rsidRPr="008775B9">
        <w:t xml:space="preserve"> </w:t>
      </w:r>
      <w:r>
        <w:t>“</w:t>
      </w:r>
      <w:r w:rsidR="001D6F8A">
        <w:t>L’utilizzo, la modifica e la diffusione delle immagini e, più in generale, di tutti i contenuti delle lezioni può comportare rischi per i diritti e le libertà di insegnanti, studentesse e studenti, nonché responsabilità di natura civile e penale che potranno essere sanzionate dall’Istituto scolastico e denunciate all’Autorità Giudiziaria. Pertanto, il materiale caricato o condiviso sulla piattaforma utilizzata per la DDI o nel Registro elettronico deve essere esclusivamente inerente all'attività didattica e deve essere rispettata la tutela della protezione dei dati personali e i diritti delle persone i cui dati (anche di natura sensibile) sono trattati. ATTENZIONE! Il materiale messo a disposizione dai docenti è per uso personale dello studente ed è coperto da copyright. Ne è severamente vietata la riproduzione o il riutilizzo anche parziale, ai sensi e per gli effetti della legge sul diritto d’autore (L. 633/1941).</w:t>
      </w:r>
    </w:p>
    <w:p w14:paraId="44D683D0" w14:textId="0378BE77" w:rsidR="0082186C" w:rsidRPr="0050501C" w:rsidRDefault="001D6F8A" w:rsidP="001D6F8A">
      <w:pPr>
        <w:spacing w:line="360" w:lineRule="auto"/>
        <w:ind w:left="283"/>
        <w:jc w:val="both"/>
        <w:rPr>
          <w:b/>
          <w:bCs/>
        </w:rPr>
      </w:pPr>
      <w:r>
        <w:t xml:space="preserve">È vietato inserire nelle piattaforme di formazione a distanza, sia per i docenti che per gli studenti, materiale che violi diritti d’autore, o altri diritti di proprietà intellettuali o industriale (es. materiale coperto da copyright, software non regolarmente licenziati, </w:t>
      </w:r>
      <w:proofErr w:type="spellStart"/>
      <w:r>
        <w:t>ecc</w:t>
      </w:r>
      <w:proofErr w:type="spellEnd"/>
      <w:r>
        <w:t>) o altri materiali che possano configurare ipotesi perseguibili di natura penale, civile o amministrativa”.</w:t>
      </w:r>
    </w:p>
    <w:p w14:paraId="7B135D71" w14:textId="77777777" w:rsidR="0082186C" w:rsidRDefault="0082186C" w:rsidP="0082186C">
      <w:pPr>
        <w:spacing w:line="360" w:lineRule="auto"/>
        <w:jc w:val="both"/>
      </w:pPr>
    </w:p>
    <w:p w14:paraId="26B1961E" w14:textId="77777777" w:rsidR="004A2E28" w:rsidRDefault="004A2E28"/>
    <w:sectPr w:rsidR="004A2E28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E369" w14:textId="77777777" w:rsidR="00B27800" w:rsidRDefault="00B27800" w:rsidP="004F2DF6">
      <w:pPr>
        <w:spacing w:line="240" w:lineRule="auto"/>
      </w:pPr>
      <w:r>
        <w:separator/>
      </w:r>
    </w:p>
  </w:endnote>
  <w:endnote w:type="continuationSeparator" w:id="0">
    <w:p w14:paraId="5A59A391" w14:textId="77777777" w:rsidR="00B27800" w:rsidRDefault="00B27800" w:rsidP="004F2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013957"/>
      <w:docPartObj>
        <w:docPartGallery w:val="Page Numbers (Bottom of Page)"/>
        <w:docPartUnique/>
      </w:docPartObj>
    </w:sdtPr>
    <w:sdtEndPr/>
    <w:sdtContent>
      <w:p w14:paraId="514DEE96" w14:textId="2929EF93" w:rsidR="004F2DF6" w:rsidRDefault="004F2D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8D1FD11" w14:textId="77777777" w:rsidR="004F2DF6" w:rsidRDefault="004F2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9837" w14:textId="77777777" w:rsidR="00B27800" w:rsidRDefault="00B27800" w:rsidP="004F2DF6">
      <w:pPr>
        <w:spacing w:line="240" w:lineRule="auto"/>
      </w:pPr>
      <w:r>
        <w:separator/>
      </w:r>
    </w:p>
  </w:footnote>
  <w:footnote w:type="continuationSeparator" w:id="0">
    <w:p w14:paraId="65E8E960" w14:textId="77777777" w:rsidR="00B27800" w:rsidRDefault="00B27800" w:rsidP="004F2D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7C4"/>
    <w:multiLevelType w:val="multilevel"/>
    <w:tmpl w:val="9990C8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BD00A6"/>
    <w:multiLevelType w:val="multilevel"/>
    <w:tmpl w:val="31B44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3104E5"/>
    <w:multiLevelType w:val="multilevel"/>
    <w:tmpl w:val="EDA8D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2D202E"/>
    <w:multiLevelType w:val="multilevel"/>
    <w:tmpl w:val="8B8C1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8436ED"/>
    <w:multiLevelType w:val="multilevel"/>
    <w:tmpl w:val="D3645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C"/>
    <w:rsid w:val="00053EB9"/>
    <w:rsid w:val="001D6F8A"/>
    <w:rsid w:val="00213A9E"/>
    <w:rsid w:val="002F0C7C"/>
    <w:rsid w:val="003D2265"/>
    <w:rsid w:val="004A2E28"/>
    <w:rsid w:val="004F2DF6"/>
    <w:rsid w:val="0050501C"/>
    <w:rsid w:val="0068128A"/>
    <w:rsid w:val="0082186C"/>
    <w:rsid w:val="008A0A5A"/>
    <w:rsid w:val="00A03D7C"/>
    <w:rsid w:val="00AE3E78"/>
    <w:rsid w:val="00B27800"/>
    <w:rsid w:val="00C7165A"/>
    <w:rsid w:val="00F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8AB"/>
  <w15:chartTrackingRefBased/>
  <w15:docId w15:val="{91F379A9-E7D0-4576-8593-DB2DA26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2186C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8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86C"/>
    <w:rPr>
      <w:rFonts w:ascii="Segoe UI" w:eastAsia="Arial" w:hAnsi="Segoe UI" w:cs="Segoe UI"/>
      <w:sz w:val="18"/>
      <w:szCs w:val="18"/>
      <w:lang w:val="it" w:eastAsia="it-IT"/>
    </w:rPr>
  </w:style>
  <w:style w:type="paragraph" w:styleId="Paragrafoelenco">
    <w:name w:val="List Paragraph"/>
    <w:basedOn w:val="Normale"/>
    <w:uiPriority w:val="34"/>
    <w:qFormat/>
    <w:rsid w:val="008218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2D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DF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2D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DF6"/>
    <w:rPr>
      <w:rFonts w:ascii="Arial" w:eastAsia="Arial" w:hAnsi="Arial" w:cs="Arial"/>
      <w:lang w:val="it" w:eastAsia="it-IT"/>
    </w:rPr>
  </w:style>
  <w:style w:type="character" w:styleId="Collegamentoipertestuale">
    <w:name w:val="Hyperlink"/>
    <w:uiPriority w:val="99"/>
    <w:semiHidden/>
    <w:unhideWhenUsed/>
    <w:rsid w:val="004F2DF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F2DF6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rsid w:val="004F2DF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andard">
    <w:name w:val="Standard"/>
    <w:rsid w:val="004F2D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rf010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villofalconebrindisi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rvillofalconebrind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villofalconebrindisi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Rizzi</dc:creator>
  <cp:keywords/>
  <dc:description/>
  <cp:lastModifiedBy>Utente</cp:lastModifiedBy>
  <cp:revision>8</cp:revision>
  <cp:lastPrinted>2020-10-17T15:43:00Z</cp:lastPrinted>
  <dcterms:created xsi:type="dcterms:W3CDTF">2020-10-16T11:12:00Z</dcterms:created>
  <dcterms:modified xsi:type="dcterms:W3CDTF">2020-10-17T17:21:00Z</dcterms:modified>
</cp:coreProperties>
</file>